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77" w:rsidRPr="00DA1823" w:rsidRDefault="00F61C0F" w:rsidP="00822968">
      <w:pPr>
        <w:jc w:val="center"/>
        <w:rPr>
          <w:rFonts w:cstheme="minorHAnsi"/>
          <w:b/>
          <w:sz w:val="28"/>
          <w:szCs w:val="28"/>
          <w:lang w:val="es-ES"/>
        </w:rPr>
      </w:pPr>
      <w:r w:rsidRPr="00DA1823">
        <w:rPr>
          <w:rFonts w:cstheme="minorHAnsi"/>
          <w:b/>
          <w:sz w:val="28"/>
          <w:szCs w:val="28"/>
          <w:lang w:val="es-ES"/>
        </w:rPr>
        <w:t>Acuerdos</w:t>
      </w:r>
    </w:p>
    <w:tbl>
      <w:tblPr>
        <w:tblStyle w:val="Tablaconcuadrcula"/>
        <w:tblW w:w="5000" w:type="pct"/>
        <w:tblLook w:val="04A0" w:firstRow="1" w:lastRow="0" w:firstColumn="1" w:lastColumn="0" w:noHBand="0" w:noVBand="1"/>
      </w:tblPr>
      <w:tblGrid>
        <w:gridCol w:w="521"/>
        <w:gridCol w:w="2443"/>
        <w:gridCol w:w="1382"/>
        <w:gridCol w:w="8650"/>
      </w:tblGrid>
      <w:tr w:rsidR="00E90728" w:rsidRPr="00DA1823" w:rsidTr="00E90728">
        <w:trPr>
          <w:trHeight w:val="431"/>
        </w:trPr>
        <w:tc>
          <w:tcPr>
            <w:tcW w:w="270" w:type="pct"/>
          </w:tcPr>
          <w:p w:rsidR="00E90728" w:rsidRPr="00DA1823" w:rsidRDefault="00E90728" w:rsidP="00822968">
            <w:pPr>
              <w:jc w:val="center"/>
              <w:rPr>
                <w:rFonts w:cstheme="minorHAnsi"/>
                <w:b/>
                <w:sz w:val="20"/>
                <w:szCs w:val="20"/>
              </w:rPr>
            </w:pPr>
          </w:p>
        </w:tc>
        <w:tc>
          <w:tcPr>
            <w:tcW w:w="1482" w:type="pct"/>
          </w:tcPr>
          <w:p w:rsidR="00E90728" w:rsidRPr="00DA1823" w:rsidRDefault="00E90728" w:rsidP="00822968">
            <w:pPr>
              <w:jc w:val="center"/>
              <w:rPr>
                <w:rFonts w:cstheme="minorHAnsi"/>
                <w:b/>
                <w:sz w:val="20"/>
                <w:szCs w:val="20"/>
              </w:rPr>
            </w:pPr>
            <w:r w:rsidRPr="00DA1823">
              <w:rPr>
                <w:rFonts w:cstheme="minorHAnsi"/>
                <w:b/>
                <w:sz w:val="20"/>
                <w:szCs w:val="20"/>
              </w:rPr>
              <w:t>Denominación</w:t>
            </w:r>
          </w:p>
        </w:tc>
        <w:tc>
          <w:tcPr>
            <w:tcW w:w="837" w:type="pct"/>
          </w:tcPr>
          <w:p w:rsidR="00E90728" w:rsidRPr="00DA1823" w:rsidRDefault="00E90728" w:rsidP="00822968">
            <w:pPr>
              <w:jc w:val="center"/>
              <w:rPr>
                <w:rFonts w:cstheme="minorHAnsi"/>
                <w:b/>
                <w:sz w:val="20"/>
                <w:szCs w:val="20"/>
                <w:lang w:val="es-ES"/>
              </w:rPr>
            </w:pPr>
            <w:r w:rsidRPr="00DA1823">
              <w:rPr>
                <w:rFonts w:cstheme="minorHAnsi"/>
                <w:b/>
                <w:sz w:val="20"/>
                <w:szCs w:val="20"/>
                <w:lang w:val="es-ES"/>
              </w:rPr>
              <w:t>Fecha de modificación</w:t>
            </w:r>
          </w:p>
        </w:tc>
        <w:tc>
          <w:tcPr>
            <w:tcW w:w="2410" w:type="pct"/>
          </w:tcPr>
          <w:p w:rsidR="00E90728" w:rsidRPr="00DA1823" w:rsidRDefault="00E90728" w:rsidP="00822968">
            <w:pPr>
              <w:jc w:val="center"/>
              <w:rPr>
                <w:rFonts w:cstheme="minorHAnsi"/>
                <w:b/>
                <w:sz w:val="20"/>
                <w:szCs w:val="20"/>
                <w:lang w:val="es-ES"/>
              </w:rPr>
            </w:pPr>
            <w:r w:rsidRPr="00DA1823">
              <w:rPr>
                <w:rFonts w:cstheme="minorHAnsi"/>
                <w:b/>
                <w:sz w:val="20"/>
                <w:szCs w:val="20"/>
                <w:lang w:val="es-ES"/>
              </w:rPr>
              <w:t>liga</w:t>
            </w:r>
          </w:p>
        </w:tc>
      </w:tr>
      <w:tr w:rsidR="00E90728" w:rsidRPr="00DA1823" w:rsidTr="00E10AB2">
        <w:trPr>
          <w:trHeight w:val="1270"/>
        </w:trPr>
        <w:tc>
          <w:tcPr>
            <w:tcW w:w="270" w:type="pct"/>
            <w:shd w:val="clear" w:color="auto" w:fill="auto"/>
          </w:tcPr>
          <w:p w:rsidR="00E90728" w:rsidRPr="00DA1823" w:rsidRDefault="00E90728" w:rsidP="00F61C0F">
            <w:pPr>
              <w:rPr>
                <w:rFonts w:cstheme="minorHAnsi"/>
                <w:sz w:val="20"/>
                <w:szCs w:val="20"/>
              </w:rPr>
            </w:pPr>
            <w:r w:rsidRPr="00DA1823">
              <w:rPr>
                <w:rFonts w:cstheme="minorHAnsi"/>
                <w:sz w:val="20"/>
                <w:szCs w:val="20"/>
              </w:rPr>
              <w:t>115</w:t>
            </w:r>
          </w:p>
        </w:tc>
        <w:tc>
          <w:tcPr>
            <w:tcW w:w="1482" w:type="pct"/>
            <w:shd w:val="clear" w:color="auto" w:fill="auto"/>
          </w:tcPr>
          <w:p w:rsidR="00E90728" w:rsidRPr="00DA1823" w:rsidRDefault="00E90728" w:rsidP="00F61C0F">
            <w:pPr>
              <w:rPr>
                <w:rFonts w:cstheme="minorHAnsi"/>
                <w:sz w:val="20"/>
                <w:szCs w:val="20"/>
              </w:rPr>
            </w:pPr>
            <w:r w:rsidRPr="00DA1823">
              <w:rPr>
                <w:rFonts w:cstheme="minorHAnsi"/>
                <w:sz w:val="20"/>
                <w:szCs w:val="20"/>
              </w:rPr>
              <w:t>Acuerdo Mediante el cual se otorgan Facultades a las Unidades Administrativas</w:t>
            </w:r>
          </w:p>
          <w:p w:rsidR="00E90728" w:rsidRPr="00DA1823" w:rsidRDefault="00E90728" w:rsidP="00F61C0F">
            <w:pPr>
              <w:rPr>
                <w:rFonts w:cstheme="minorHAnsi"/>
                <w:sz w:val="20"/>
                <w:szCs w:val="20"/>
              </w:rPr>
            </w:pPr>
          </w:p>
          <w:p w:rsidR="00E90728" w:rsidRPr="00DA1823" w:rsidRDefault="00E90728" w:rsidP="00F61C0F">
            <w:pPr>
              <w:rPr>
                <w:rFonts w:cstheme="minorHAnsi"/>
                <w:sz w:val="20"/>
                <w:szCs w:val="20"/>
              </w:rPr>
            </w:pPr>
            <w:r w:rsidRPr="00DA1823">
              <w:rPr>
                <w:rFonts w:cstheme="minorHAnsi"/>
                <w:sz w:val="20"/>
                <w:szCs w:val="20"/>
              </w:rPr>
              <w:t>**Acuerdo DG-13-/DCAJ-13/2016, mediante el que se actualiza el similar por el que se otorgan facultades a Titulares de Unidades Administrativas del CONALEP</w:t>
            </w:r>
          </w:p>
        </w:tc>
        <w:tc>
          <w:tcPr>
            <w:tcW w:w="837" w:type="pct"/>
            <w:shd w:val="clear" w:color="auto" w:fill="auto"/>
          </w:tcPr>
          <w:p w:rsidR="00E90728" w:rsidRPr="00DA1823" w:rsidRDefault="00E90728" w:rsidP="00F61C0F">
            <w:pPr>
              <w:rPr>
                <w:rFonts w:cstheme="minorHAnsi"/>
                <w:sz w:val="20"/>
                <w:szCs w:val="20"/>
                <w:lang w:val="es-ES"/>
              </w:rPr>
            </w:pPr>
            <w:r w:rsidRPr="00DA1823">
              <w:rPr>
                <w:rFonts w:cstheme="minorHAnsi"/>
                <w:sz w:val="20"/>
                <w:szCs w:val="20"/>
                <w:lang w:val="es-ES"/>
              </w:rPr>
              <w:t>17/01/2022</w:t>
            </w:r>
          </w:p>
        </w:tc>
        <w:tc>
          <w:tcPr>
            <w:tcW w:w="2410" w:type="pct"/>
            <w:shd w:val="clear" w:color="auto" w:fill="auto"/>
          </w:tcPr>
          <w:p w:rsidR="00E90728" w:rsidRPr="00DA1823" w:rsidRDefault="00E90728" w:rsidP="00F61C0F">
            <w:pPr>
              <w:rPr>
                <w:rFonts w:cstheme="minorHAnsi"/>
                <w:sz w:val="20"/>
                <w:szCs w:val="20"/>
                <w:lang w:val="es-ES"/>
              </w:rPr>
            </w:pPr>
            <w:r w:rsidRPr="00DA1823">
              <w:rPr>
                <w:rFonts w:cstheme="minorHAnsi"/>
                <w:sz w:val="20"/>
                <w:szCs w:val="20"/>
                <w:lang w:val="es-ES"/>
              </w:rPr>
              <w:t>https://www.c</w:t>
            </w:r>
            <w:bookmarkStart w:id="0" w:name="_GoBack"/>
            <w:bookmarkEnd w:id="0"/>
            <w:r w:rsidRPr="00DA1823">
              <w:rPr>
                <w:rFonts w:cstheme="minorHAnsi"/>
                <w:sz w:val="20"/>
                <w:szCs w:val="20"/>
                <w:lang w:val="es-ES"/>
              </w:rPr>
              <w:t>onalep.edu.mx/sites/default/files/2021-10/23-EDITABLE21092016-FACULTADES-.pdf</w:t>
            </w:r>
          </w:p>
        </w:tc>
      </w:tr>
      <w:tr w:rsidR="00E90728" w:rsidRPr="00DA1823" w:rsidTr="00E10AB2">
        <w:trPr>
          <w:trHeight w:val="1270"/>
        </w:trPr>
        <w:tc>
          <w:tcPr>
            <w:tcW w:w="270" w:type="pct"/>
            <w:shd w:val="clear" w:color="auto" w:fill="auto"/>
          </w:tcPr>
          <w:p w:rsidR="00E90728" w:rsidRPr="00DA1823" w:rsidRDefault="00E90728" w:rsidP="00F61C0F">
            <w:pPr>
              <w:rPr>
                <w:rFonts w:cstheme="minorHAnsi"/>
                <w:sz w:val="20"/>
                <w:szCs w:val="20"/>
                <w:lang w:val="es-ES"/>
              </w:rPr>
            </w:pPr>
          </w:p>
          <w:p w:rsidR="00E90728" w:rsidRPr="00DA1823" w:rsidRDefault="00E90728" w:rsidP="00E90728">
            <w:pPr>
              <w:rPr>
                <w:rFonts w:cstheme="minorHAnsi"/>
                <w:sz w:val="20"/>
                <w:szCs w:val="20"/>
                <w:lang w:val="es-ES"/>
              </w:rPr>
            </w:pPr>
          </w:p>
          <w:p w:rsidR="00E90728" w:rsidRPr="00DA1823" w:rsidRDefault="00E90728" w:rsidP="00E90728">
            <w:pPr>
              <w:rPr>
                <w:rFonts w:cstheme="minorHAnsi"/>
                <w:sz w:val="20"/>
                <w:szCs w:val="20"/>
                <w:lang w:val="es-ES"/>
              </w:rPr>
            </w:pPr>
          </w:p>
          <w:p w:rsidR="00E90728" w:rsidRPr="00DA1823" w:rsidRDefault="00E90728" w:rsidP="00E90728">
            <w:pPr>
              <w:rPr>
                <w:rFonts w:cstheme="minorHAnsi"/>
                <w:sz w:val="20"/>
                <w:szCs w:val="20"/>
                <w:lang w:val="es-ES"/>
              </w:rPr>
            </w:pPr>
          </w:p>
          <w:p w:rsidR="00E90728" w:rsidRPr="00DA1823" w:rsidRDefault="00E90728" w:rsidP="00E90728">
            <w:pPr>
              <w:rPr>
                <w:rFonts w:cstheme="minorHAnsi"/>
                <w:sz w:val="20"/>
                <w:szCs w:val="20"/>
                <w:lang w:val="es-ES"/>
              </w:rPr>
            </w:pPr>
            <w:r w:rsidRPr="00DA1823">
              <w:rPr>
                <w:rFonts w:cstheme="minorHAnsi"/>
                <w:sz w:val="20"/>
                <w:szCs w:val="20"/>
                <w:lang w:val="es-ES"/>
              </w:rPr>
              <w:t>213</w:t>
            </w:r>
          </w:p>
        </w:tc>
        <w:tc>
          <w:tcPr>
            <w:tcW w:w="1482" w:type="pct"/>
            <w:shd w:val="clear" w:color="auto" w:fill="auto"/>
          </w:tcPr>
          <w:p w:rsidR="00E90728" w:rsidRPr="00DA1823" w:rsidRDefault="00E90728" w:rsidP="00F61C0F">
            <w:pPr>
              <w:rPr>
                <w:rFonts w:cstheme="minorHAnsi"/>
                <w:sz w:val="20"/>
                <w:szCs w:val="20"/>
                <w:lang w:val="es-ES"/>
              </w:rPr>
            </w:pPr>
            <w:r w:rsidRPr="00DA1823">
              <w:rPr>
                <w:rFonts w:cstheme="minorHAnsi"/>
                <w:sz w:val="20"/>
                <w:szCs w:val="20"/>
                <w:lang w:val="es-ES"/>
              </w:rPr>
              <w:t>Acuerdo mediante el cual se expide la equivalencia entre las asignaturas del esquema básico general de los planes de estudio 1990, correspondientes a las asignaturas del tronco común del bachillerato, con las asignaturas del bloque de formación básica de los planes de estudio 1997, que se imparten en el Colegio Nacional de Educación Profesional Técnica</w:t>
            </w:r>
          </w:p>
          <w:p w:rsidR="00E90728" w:rsidRPr="00DA1823" w:rsidRDefault="00E90728" w:rsidP="00F61C0F">
            <w:pPr>
              <w:rPr>
                <w:rFonts w:cstheme="minorHAnsi"/>
                <w:sz w:val="20"/>
                <w:szCs w:val="20"/>
                <w:lang w:val="es-ES"/>
              </w:rPr>
            </w:pPr>
          </w:p>
          <w:p w:rsidR="00E90728" w:rsidRPr="00DA1823" w:rsidRDefault="00E90728" w:rsidP="00F61C0F">
            <w:pPr>
              <w:rPr>
                <w:rFonts w:cstheme="minorHAnsi"/>
                <w:sz w:val="20"/>
                <w:szCs w:val="20"/>
                <w:lang w:val="es-ES"/>
              </w:rPr>
            </w:pPr>
            <w:r w:rsidRPr="00DA1823">
              <w:rPr>
                <w:rFonts w:cstheme="minorHAnsi"/>
                <w:sz w:val="20"/>
                <w:szCs w:val="20"/>
                <w:lang w:val="es-ES"/>
              </w:rPr>
              <w:t>**Acuerdo por el cual se expide la Equivalencia entre las asignaturas</w:t>
            </w:r>
          </w:p>
        </w:tc>
        <w:tc>
          <w:tcPr>
            <w:tcW w:w="837" w:type="pct"/>
            <w:shd w:val="clear" w:color="auto" w:fill="auto"/>
          </w:tcPr>
          <w:p w:rsidR="00E90728" w:rsidRPr="00DA1823" w:rsidRDefault="00E90728" w:rsidP="00F61C0F">
            <w:pPr>
              <w:rPr>
                <w:rFonts w:cstheme="minorHAnsi"/>
                <w:sz w:val="20"/>
                <w:szCs w:val="20"/>
                <w:lang w:val="es-ES"/>
              </w:rPr>
            </w:pPr>
            <w:r w:rsidRPr="00DA1823">
              <w:rPr>
                <w:rFonts w:cstheme="minorHAnsi"/>
                <w:sz w:val="20"/>
                <w:szCs w:val="20"/>
                <w:lang w:val="es-ES"/>
              </w:rPr>
              <w:t>17/01/2022</w:t>
            </w:r>
          </w:p>
        </w:tc>
        <w:tc>
          <w:tcPr>
            <w:tcW w:w="2410" w:type="pct"/>
            <w:shd w:val="clear" w:color="auto" w:fill="auto"/>
          </w:tcPr>
          <w:p w:rsidR="00E90728" w:rsidRPr="00DA1823" w:rsidRDefault="00E90728" w:rsidP="00F61C0F">
            <w:pPr>
              <w:rPr>
                <w:rFonts w:cstheme="minorHAnsi"/>
                <w:sz w:val="20"/>
                <w:szCs w:val="20"/>
                <w:lang w:val="es-ES"/>
              </w:rPr>
            </w:pPr>
            <w:r w:rsidRPr="00DA1823">
              <w:rPr>
                <w:rFonts w:cstheme="minorHAnsi"/>
                <w:sz w:val="20"/>
                <w:szCs w:val="20"/>
                <w:lang w:val="es-ES"/>
              </w:rPr>
              <w:t>https://www.conalep.edu.mx/sites/default/files/2021-10/03-EDITABLE-04092000-ACUERDO_Equivalencia_FB_Revisado_CRA.pdf</w:t>
            </w:r>
          </w:p>
        </w:tc>
      </w:tr>
      <w:tr w:rsidR="00E90728" w:rsidRPr="00DA1823" w:rsidTr="00384EB6">
        <w:trPr>
          <w:trHeight w:val="1270"/>
        </w:trPr>
        <w:tc>
          <w:tcPr>
            <w:tcW w:w="270" w:type="pct"/>
            <w:shd w:val="clear" w:color="auto" w:fill="FFFFFF" w:themeFill="background1"/>
          </w:tcPr>
          <w:p w:rsidR="00E90728" w:rsidRPr="00DA1823" w:rsidRDefault="00E90728" w:rsidP="00F61C0F">
            <w:pPr>
              <w:rPr>
                <w:rFonts w:cstheme="minorHAnsi"/>
                <w:sz w:val="20"/>
                <w:szCs w:val="20"/>
                <w:u w:val="single"/>
                <w:lang w:val="es-ES"/>
              </w:rPr>
            </w:pPr>
          </w:p>
        </w:tc>
        <w:tc>
          <w:tcPr>
            <w:tcW w:w="1482"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Acuerdo DG-14/DCAJ-14/SA-05/2011 por el cual se expiden las Políticas, Bases y Lineamientos en materia de obras públicas y servicios relacionados con las mismas del Colegio Nacional de Educación Profesional Técnica</w:t>
            </w:r>
          </w:p>
        </w:tc>
        <w:tc>
          <w:tcPr>
            <w:tcW w:w="837"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 xml:space="preserve">En </w:t>
            </w:r>
            <w:proofErr w:type="spellStart"/>
            <w:r w:rsidRPr="00DA1823">
              <w:rPr>
                <w:rFonts w:cstheme="minorHAnsi"/>
                <w:sz w:val="20"/>
                <w:szCs w:val="20"/>
                <w:u w:val="single"/>
                <w:lang w:val="es-ES"/>
              </w:rPr>
              <w:t>sipot</w:t>
            </w:r>
            <w:proofErr w:type="spellEnd"/>
            <w:r w:rsidRPr="00DA1823">
              <w:rPr>
                <w:rFonts w:cstheme="minorHAnsi"/>
                <w:sz w:val="20"/>
                <w:szCs w:val="20"/>
                <w:u w:val="single"/>
                <w:lang w:val="es-ES"/>
              </w:rPr>
              <w:t xml:space="preserve"> se </w:t>
            </w:r>
            <w:proofErr w:type="spellStart"/>
            <w:r w:rsidRPr="00DA1823">
              <w:rPr>
                <w:rFonts w:cstheme="minorHAnsi"/>
                <w:sz w:val="20"/>
                <w:szCs w:val="20"/>
                <w:u w:val="single"/>
                <w:lang w:val="es-ES"/>
              </w:rPr>
              <w:t>dejo</w:t>
            </w:r>
            <w:proofErr w:type="spellEnd"/>
            <w:r w:rsidRPr="00DA1823">
              <w:rPr>
                <w:rFonts w:cstheme="minorHAnsi"/>
                <w:sz w:val="20"/>
                <w:szCs w:val="20"/>
                <w:u w:val="single"/>
                <w:lang w:val="es-ES"/>
              </w:rPr>
              <w:t xml:space="preserve"> el link de </w:t>
            </w:r>
            <w:proofErr w:type="spellStart"/>
            <w:r w:rsidRPr="00DA1823">
              <w:rPr>
                <w:rFonts w:cstheme="minorHAnsi"/>
                <w:sz w:val="20"/>
                <w:szCs w:val="20"/>
                <w:u w:val="single"/>
                <w:lang w:val="es-ES"/>
              </w:rPr>
              <w:t>inai</w:t>
            </w:r>
            <w:proofErr w:type="spellEnd"/>
          </w:p>
          <w:p w:rsidR="00E90728" w:rsidRPr="00DA1823" w:rsidRDefault="00E90728" w:rsidP="00F61C0F">
            <w:pPr>
              <w:rPr>
                <w:rFonts w:cstheme="minorHAnsi"/>
                <w:sz w:val="20"/>
                <w:szCs w:val="20"/>
                <w:u w:val="single"/>
                <w:lang w:val="es-ES"/>
              </w:rPr>
            </w:pPr>
          </w:p>
        </w:tc>
        <w:tc>
          <w:tcPr>
            <w:tcW w:w="2410"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https://www.conalep.edu.mx/sites/default/files/2021-10/6-B-EDITABLE-01102011-POBALINESOBRAS-.pdf</w:t>
            </w:r>
          </w:p>
        </w:tc>
      </w:tr>
      <w:tr w:rsidR="00E90728" w:rsidRPr="00DA1823" w:rsidTr="00384EB6">
        <w:trPr>
          <w:trHeight w:val="1270"/>
        </w:trPr>
        <w:tc>
          <w:tcPr>
            <w:tcW w:w="270"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207</w:t>
            </w:r>
          </w:p>
        </w:tc>
        <w:tc>
          <w:tcPr>
            <w:tcW w:w="1482"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Acuerdo DG-12-/DCAJ-12/SA-03/2010 por el cual se establece el Manual de Integración y Funcionamiento del Comité de Obras Públicas y Servicios Relacionados con las mismas del Colegio Nacional de Educación Profesional Técnica</w:t>
            </w:r>
          </w:p>
        </w:tc>
        <w:tc>
          <w:tcPr>
            <w:tcW w:w="837"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17/01/2022</w:t>
            </w:r>
          </w:p>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 xml:space="preserve">En </w:t>
            </w:r>
            <w:proofErr w:type="spellStart"/>
            <w:r w:rsidRPr="00DA1823">
              <w:rPr>
                <w:rFonts w:cstheme="minorHAnsi"/>
                <w:sz w:val="20"/>
                <w:szCs w:val="20"/>
                <w:u w:val="single"/>
                <w:lang w:val="es-ES"/>
              </w:rPr>
              <w:t>sipot</w:t>
            </w:r>
            <w:proofErr w:type="spellEnd"/>
            <w:r w:rsidRPr="00DA1823">
              <w:rPr>
                <w:rFonts w:cstheme="minorHAnsi"/>
                <w:sz w:val="20"/>
                <w:szCs w:val="20"/>
                <w:u w:val="single"/>
                <w:lang w:val="es-ES"/>
              </w:rPr>
              <w:t xml:space="preserve"> se dejó la liga de </w:t>
            </w:r>
            <w:proofErr w:type="spellStart"/>
            <w:r w:rsidRPr="00DA1823">
              <w:rPr>
                <w:rFonts w:cstheme="minorHAnsi"/>
                <w:sz w:val="20"/>
                <w:szCs w:val="20"/>
                <w:u w:val="single"/>
                <w:lang w:val="es-ES"/>
              </w:rPr>
              <w:t>inai</w:t>
            </w:r>
            <w:proofErr w:type="spellEnd"/>
          </w:p>
        </w:tc>
        <w:tc>
          <w:tcPr>
            <w:tcW w:w="2410" w:type="pct"/>
            <w:shd w:val="clear" w:color="auto" w:fill="FFFFFF" w:themeFill="background1"/>
          </w:tcPr>
          <w:p w:rsidR="00E90728" w:rsidRPr="00DA1823" w:rsidRDefault="00E90728" w:rsidP="00F61C0F">
            <w:pPr>
              <w:rPr>
                <w:rFonts w:cstheme="minorHAnsi"/>
                <w:sz w:val="20"/>
                <w:szCs w:val="20"/>
                <w:u w:val="single"/>
                <w:lang w:val="es-ES"/>
              </w:rPr>
            </w:pPr>
            <w:r w:rsidRPr="00DA1823">
              <w:rPr>
                <w:rFonts w:cstheme="minorHAnsi"/>
                <w:sz w:val="20"/>
                <w:szCs w:val="20"/>
                <w:u w:val="single"/>
                <w:lang w:val="es-ES"/>
              </w:rPr>
              <w:t>https://www.conalep.edu.mx/sites/default/files/2021-10/5-A-EDITABLE-23062010-MANUAL%20COMIT%C3%89%20OBRAS.pdf</w:t>
            </w:r>
          </w:p>
        </w:tc>
      </w:tr>
      <w:tr w:rsidR="00384EB6" w:rsidRPr="00DA1823" w:rsidTr="00384EB6">
        <w:trPr>
          <w:trHeight w:val="1270"/>
        </w:trPr>
        <w:tc>
          <w:tcPr>
            <w:tcW w:w="270" w:type="pct"/>
            <w:shd w:val="clear" w:color="auto" w:fill="FFFFFF" w:themeFill="background1"/>
          </w:tcPr>
          <w:p w:rsidR="00384EB6" w:rsidRPr="00DA1823" w:rsidRDefault="00384EB6" w:rsidP="00F61C0F">
            <w:pPr>
              <w:rPr>
                <w:rFonts w:cstheme="minorHAnsi"/>
                <w:sz w:val="20"/>
                <w:szCs w:val="20"/>
                <w:u w:val="single"/>
                <w:lang w:val="es-ES"/>
              </w:rPr>
            </w:pPr>
          </w:p>
        </w:tc>
        <w:tc>
          <w:tcPr>
            <w:tcW w:w="1482" w:type="pct"/>
            <w:shd w:val="clear" w:color="auto" w:fill="FFFFFF" w:themeFill="background1"/>
          </w:tcPr>
          <w:p w:rsidR="00384EB6" w:rsidRPr="00384EB6" w:rsidRDefault="00384EB6" w:rsidP="00384EB6">
            <w:pPr>
              <w:rPr>
                <w:rFonts w:cstheme="minorHAnsi"/>
                <w:sz w:val="20"/>
                <w:szCs w:val="20"/>
                <w:u w:val="single"/>
                <w:lang w:val="es-ES"/>
              </w:rPr>
            </w:pPr>
            <w:r w:rsidRPr="00384EB6">
              <w:rPr>
                <w:rFonts w:cstheme="minorHAnsi"/>
                <w:sz w:val="20"/>
                <w:szCs w:val="20"/>
                <w:u w:val="single"/>
                <w:lang w:val="es-ES"/>
              </w:rPr>
              <w:t>Acuerdo Número DG-DCAJ-06/2022-SSI, por el que</w:t>
            </w:r>
          </w:p>
          <w:p w:rsidR="00384EB6" w:rsidRPr="00384EB6" w:rsidRDefault="00384EB6" w:rsidP="00384EB6">
            <w:pPr>
              <w:rPr>
                <w:rFonts w:cstheme="minorHAnsi"/>
                <w:sz w:val="20"/>
                <w:szCs w:val="20"/>
                <w:u w:val="single"/>
                <w:lang w:val="es-ES"/>
              </w:rPr>
            </w:pPr>
            <w:r w:rsidRPr="00384EB6">
              <w:rPr>
                <w:rFonts w:cstheme="minorHAnsi"/>
                <w:sz w:val="20"/>
                <w:szCs w:val="20"/>
                <w:u w:val="single"/>
                <w:lang w:val="es-ES"/>
              </w:rPr>
              <w:t>se emiten los Lineamientos Generales del Calendario</w:t>
            </w:r>
          </w:p>
          <w:p w:rsidR="00384EB6" w:rsidRPr="00DA1823" w:rsidRDefault="00384EB6" w:rsidP="00384EB6">
            <w:pPr>
              <w:rPr>
                <w:rFonts w:cstheme="minorHAnsi"/>
                <w:sz w:val="20"/>
                <w:szCs w:val="20"/>
                <w:u w:val="single"/>
                <w:lang w:val="es-ES"/>
              </w:rPr>
            </w:pPr>
            <w:r w:rsidRPr="00384EB6">
              <w:rPr>
                <w:rFonts w:cstheme="minorHAnsi"/>
                <w:sz w:val="20"/>
                <w:szCs w:val="20"/>
                <w:u w:val="single"/>
                <w:lang w:val="es-ES"/>
              </w:rPr>
              <w:t>Escolar 2022-2023 aplicable al Sistema CONALEP</w:t>
            </w:r>
          </w:p>
        </w:tc>
        <w:tc>
          <w:tcPr>
            <w:tcW w:w="837" w:type="pct"/>
            <w:shd w:val="clear" w:color="auto" w:fill="FFFFFF" w:themeFill="background1"/>
          </w:tcPr>
          <w:p w:rsidR="00384EB6" w:rsidRPr="00DA1823" w:rsidRDefault="00384EB6" w:rsidP="00F61C0F">
            <w:pPr>
              <w:rPr>
                <w:rFonts w:cstheme="minorHAnsi"/>
                <w:sz w:val="20"/>
                <w:szCs w:val="20"/>
                <w:u w:val="single"/>
                <w:lang w:val="es-ES"/>
              </w:rPr>
            </w:pPr>
            <w:r>
              <w:rPr>
                <w:rFonts w:cstheme="minorHAnsi"/>
                <w:sz w:val="20"/>
                <w:szCs w:val="20"/>
                <w:u w:val="single"/>
                <w:lang w:val="es-ES"/>
              </w:rPr>
              <w:t>24 junio 2022</w:t>
            </w:r>
          </w:p>
        </w:tc>
        <w:tc>
          <w:tcPr>
            <w:tcW w:w="2410" w:type="pct"/>
            <w:shd w:val="clear" w:color="auto" w:fill="FFFFFF" w:themeFill="background1"/>
          </w:tcPr>
          <w:p w:rsidR="00384EB6" w:rsidRPr="00DA1823" w:rsidRDefault="0090520F" w:rsidP="00F61C0F">
            <w:pPr>
              <w:rPr>
                <w:rFonts w:cstheme="minorHAnsi"/>
                <w:sz w:val="20"/>
                <w:szCs w:val="20"/>
                <w:u w:val="single"/>
                <w:lang w:val="es-ES"/>
              </w:rPr>
            </w:pPr>
            <w:r w:rsidRPr="0090520F">
              <w:rPr>
                <w:rFonts w:cstheme="minorHAnsi"/>
                <w:sz w:val="20"/>
                <w:szCs w:val="20"/>
                <w:u w:val="single"/>
                <w:lang w:val="es-ES"/>
              </w:rPr>
              <w:t>http://inai.conalep.edu.mx/dcaj/SIPOT%20normas%202022/Calendario%20Esc%2022_23.pdf</w:t>
            </w:r>
          </w:p>
        </w:tc>
      </w:tr>
      <w:tr w:rsidR="00384EB6" w:rsidRPr="00DA1823" w:rsidTr="00384EB6">
        <w:trPr>
          <w:trHeight w:val="1270"/>
        </w:trPr>
        <w:tc>
          <w:tcPr>
            <w:tcW w:w="270" w:type="pct"/>
            <w:shd w:val="clear" w:color="auto" w:fill="FFFFFF" w:themeFill="background1"/>
          </w:tcPr>
          <w:p w:rsidR="00384EB6" w:rsidRPr="00DA1823" w:rsidRDefault="00384EB6" w:rsidP="00F61C0F">
            <w:pPr>
              <w:rPr>
                <w:rFonts w:cstheme="minorHAnsi"/>
                <w:sz w:val="20"/>
                <w:szCs w:val="20"/>
                <w:u w:val="single"/>
                <w:lang w:val="es-ES"/>
              </w:rPr>
            </w:pPr>
          </w:p>
        </w:tc>
        <w:tc>
          <w:tcPr>
            <w:tcW w:w="1482" w:type="pct"/>
            <w:shd w:val="clear" w:color="auto" w:fill="FFFFFF" w:themeFill="background1"/>
          </w:tcPr>
          <w:p w:rsidR="00384EB6" w:rsidRPr="00384EB6" w:rsidRDefault="00384EB6" w:rsidP="00384EB6">
            <w:pPr>
              <w:rPr>
                <w:rFonts w:cstheme="minorHAnsi"/>
                <w:sz w:val="20"/>
                <w:szCs w:val="20"/>
                <w:u w:val="single"/>
                <w:lang w:val="es-ES"/>
              </w:rPr>
            </w:pPr>
            <w:r w:rsidRPr="00384EB6">
              <w:rPr>
                <w:rFonts w:cstheme="minorHAnsi"/>
                <w:sz w:val="20"/>
                <w:szCs w:val="20"/>
                <w:u w:val="single"/>
                <w:lang w:val="es-ES"/>
              </w:rPr>
              <w:t>Acuerdo Número DG-DCAJ-07/2022-SS, por el que se</w:t>
            </w:r>
          </w:p>
          <w:p w:rsidR="00384EB6" w:rsidRPr="00384EB6" w:rsidRDefault="00384EB6" w:rsidP="00384EB6">
            <w:pPr>
              <w:rPr>
                <w:rFonts w:cstheme="minorHAnsi"/>
                <w:sz w:val="20"/>
                <w:szCs w:val="20"/>
                <w:u w:val="single"/>
                <w:lang w:val="es-ES"/>
              </w:rPr>
            </w:pPr>
            <w:r w:rsidRPr="00384EB6">
              <w:rPr>
                <w:rFonts w:cstheme="minorHAnsi"/>
                <w:sz w:val="20"/>
                <w:szCs w:val="20"/>
                <w:u w:val="single"/>
                <w:lang w:val="es-ES"/>
              </w:rPr>
              <w:t>actualiza el Reglamento de los Comités de</w:t>
            </w:r>
          </w:p>
          <w:p w:rsidR="00384EB6" w:rsidRPr="00DA1823" w:rsidRDefault="00384EB6" w:rsidP="00384EB6">
            <w:pPr>
              <w:rPr>
                <w:rFonts w:cstheme="minorHAnsi"/>
                <w:sz w:val="20"/>
                <w:szCs w:val="20"/>
                <w:u w:val="single"/>
                <w:lang w:val="es-ES"/>
              </w:rPr>
            </w:pPr>
            <w:r w:rsidRPr="00384EB6">
              <w:rPr>
                <w:rFonts w:cstheme="minorHAnsi"/>
                <w:sz w:val="20"/>
                <w:szCs w:val="20"/>
                <w:u w:val="single"/>
                <w:lang w:val="es-ES"/>
              </w:rPr>
              <w:t>Vinculación del CONALEP</w:t>
            </w:r>
          </w:p>
        </w:tc>
        <w:tc>
          <w:tcPr>
            <w:tcW w:w="837" w:type="pct"/>
            <w:shd w:val="clear" w:color="auto" w:fill="FFFFFF" w:themeFill="background1"/>
          </w:tcPr>
          <w:p w:rsidR="00384EB6" w:rsidRPr="00DA1823" w:rsidRDefault="00384EB6" w:rsidP="00F61C0F">
            <w:pPr>
              <w:rPr>
                <w:rFonts w:cstheme="minorHAnsi"/>
                <w:sz w:val="20"/>
                <w:szCs w:val="20"/>
                <w:u w:val="single"/>
                <w:lang w:val="es-ES"/>
              </w:rPr>
            </w:pPr>
            <w:r>
              <w:rPr>
                <w:rFonts w:cstheme="minorHAnsi"/>
                <w:sz w:val="20"/>
                <w:szCs w:val="20"/>
                <w:u w:val="single"/>
                <w:lang w:val="es-ES"/>
              </w:rPr>
              <w:t>24 junio 2022</w:t>
            </w:r>
          </w:p>
        </w:tc>
        <w:tc>
          <w:tcPr>
            <w:tcW w:w="2410" w:type="pct"/>
            <w:shd w:val="clear" w:color="auto" w:fill="FFFFFF" w:themeFill="background1"/>
          </w:tcPr>
          <w:p w:rsidR="00384EB6" w:rsidRPr="00DA1823" w:rsidRDefault="0090520F" w:rsidP="00F61C0F">
            <w:pPr>
              <w:rPr>
                <w:rFonts w:cstheme="minorHAnsi"/>
                <w:sz w:val="20"/>
                <w:szCs w:val="20"/>
                <w:u w:val="single"/>
                <w:lang w:val="es-ES"/>
              </w:rPr>
            </w:pPr>
            <w:r w:rsidRPr="0090520F">
              <w:rPr>
                <w:rFonts w:cstheme="minorHAnsi"/>
                <w:sz w:val="20"/>
                <w:szCs w:val="20"/>
                <w:u w:val="single"/>
                <w:lang w:val="es-ES"/>
              </w:rPr>
              <w:t>http://inai.conalep.edu.mx/dcaj/SIPOT%20normas%202022/Comites%20de%20Vinculacion%202SO.pdf</w:t>
            </w:r>
          </w:p>
        </w:tc>
      </w:tr>
    </w:tbl>
    <w:p w:rsidR="00F61C0F" w:rsidRPr="00DA1823" w:rsidRDefault="00F61C0F">
      <w:pPr>
        <w:rPr>
          <w:rFonts w:cstheme="minorHAnsi"/>
          <w:sz w:val="20"/>
          <w:szCs w:val="20"/>
          <w:lang w:val="es-ES"/>
        </w:rPr>
      </w:pPr>
    </w:p>
    <w:p w:rsidR="00F61C0F" w:rsidRPr="00DA1823" w:rsidRDefault="00F61C0F">
      <w:pPr>
        <w:rPr>
          <w:rFonts w:cstheme="minorHAnsi"/>
          <w:sz w:val="20"/>
          <w:szCs w:val="20"/>
          <w:lang w:val="es-ES"/>
        </w:rPr>
      </w:pPr>
    </w:p>
    <w:p w:rsidR="00E851A4" w:rsidRPr="00DA1823" w:rsidRDefault="00E851A4" w:rsidP="00E851A4">
      <w:pPr>
        <w:tabs>
          <w:tab w:val="left" w:pos="1665"/>
        </w:tabs>
        <w:rPr>
          <w:rFonts w:cstheme="minorHAnsi"/>
          <w:sz w:val="20"/>
          <w:szCs w:val="20"/>
          <w:lang w:val="es-ES"/>
        </w:rPr>
      </w:pPr>
    </w:p>
    <w:p w:rsidR="00B00E84" w:rsidRPr="00DA1823" w:rsidRDefault="00B00E84">
      <w:pPr>
        <w:rPr>
          <w:rFonts w:cstheme="minorHAnsi"/>
          <w:sz w:val="20"/>
          <w:szCs w:val="20"/>
          <w:lang w:val="es-ES"/>
        </w:rPr>
      </w:pPr>
    </w:p>
    <w:sectPr w:rsidR="00B00E84" w:rsidRPr="00DA1823" w:rsidSect="00EF098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11E" w:rsidRDefault="005E711E" w:rsidP="00B00E84">
      <w:pPr>
        <w:spacing w:after="0" w:line="240" w:lineRule="auto"/>
      </w:pPr>
      <w:r>
        <w:separator/>
      </w:r>
    </w:p>
  </w:endnote>
  <w:endnote w:type="continuationSeparator" w:id="0">
    <w:p w:rsidR="005E711E" w:rsidRDefault="005E711E" w:rsidP="00B00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11E" w:rsidRDefault="005E711E" w:rsidP="00B00E84">
      <w:pPr>
        <w:spacing w:after="0" w:line="240" w:lineRule="auto"/>
      </w:pPr>
      <w:r>
        <w:separator/>
      </w:r>
    </w:p>
  </w:footnote>
  <w:footnote w:type="continuationSeparator" w:id="0">
    <w:p w:rsidR="005E711E" w:rsidRDefault="005E711E" w:rsidP="00B00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77"/>
    <w:rsid w:val="000D2323"/>
    <w:rsid w:val="00121FA0"/>
    <w:rsid w:val="001D0682"/>
    <w:rsid w:val="00336957"/>
    <w:rsid w:val="00384EB6"/>
    <w:rsid w:val="0038664D"/>
    <w:rsid w:val="00487571"/>
    <w:rsid w:val="00596EB3"/>
    <w:rsid w:val="005E711E"/>
    <w:rsid w:val="0073348E"/>
    <w:rsid w:val="00741F21"/>
    <w:rsid w:val="007C2BE9"/>
    <w:rsid w:val="007F6D19"/>
    <w:rsid w:val="00822968"/>
    <w:rsid w:val="0090520F"/>
    <w:rsid w:val="00920C87"/>
    <w:rsid w:val="009550E2"/>
    <w:rsid w:val="009C4C13"/>
    <w:rsid w:val="009D7D16"/>
    <w:rsid w:val="00B00E84"/>
    <w:rsid w:val="00CE2396"/>
    <w:rsid w:val="00D66C64"/>
    <w:rsid w:val="00DA1823"/>
    <w:rsid w:val="00DE3573"/>
    <w:rsid w:val="00DE6477"/>
    <w:rsid w:val="00E10AB2"/>
    <w:rsid w:val="00E851A4"/>
    <w:rsid w:val="00E90728"/>
    <w:rsid w:val="00EF0983"/>
    <w:rsid w:val="00F02E44"/>
    <w:rsid w:val="00F61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E2327-765C-4AC1-A891-613B9620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0E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0E84"/>
  </w:style>
  <w:style w:type="paragraph" w:styleId="Piedepgina">
    <w:name w:val="footer"/>
    <w:basedOn w:val="Normal"/>
    <w:link w:val="PiedepginaCar"/>
    <w:uiPriority w:val="99"/>
    <w:unhideWhenUsed/>
    <w:rsid w:val="00B00E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332</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CONALEP</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Vanesa Mendieta Pastrana</dc:creator>
  <cp:keywords/>
  <dc:description/>
  <cp:lastModifiedBy>Patricia Vanesa Mendieta Pastrana</cp:lastModifiedBy>
  <cp:revision>16</cp:revision>
  <dcterms:created xsi:type="dcterms:W3CDTF">2022-01-17T17:23:00Z</dcterms:created>
  <dcterms:modified xsi:type="dcterms:W3CDTF">2023-01-04T21:06:00Z</dcterms:modified>
</cp:coreProperties>
</file>